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230. “城市记忆，本地IP”——城市限定文创的购买动机与传播分享意愿调查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研究对象：购买过城市限定/本地文化IP产品（城市冰箱贴/方言文创/城市雪糕）的消费者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核心问题/变量：购买动机（纪念/打卡/送礼）、品类偏好、价格接受、外地游客vs本地人差异、传播分享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H1：购买动机（纪念/打卡/送礼）、品类偏好显著影响传播分享（待验证）；H2：不同人群（年龄/收入/城市等级）在上述关系中存在调节作用（待验证）。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🔶城市文创热（"城市冰箱贴"社交媒体现象，需引媒体）；✅文旅消费扩容背景；✅城市品牌营销政策（🔶）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景区文创店/城市市集渠道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🔶城市文创热（"城市冰箱贴"社交媒体现象，需引媒体）；✅文旅消费扩容背景；✅城市品牌营销政策（🔶）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