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025. “国潮焕新，非遗入市”——非遗文创产品购买意愿与青年参与机制研究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 岁青年消费者。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核心问题/变量：文化认同、产品设计、实用性、社交传播、价格、购买意愿。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H1：文化认同、产品设计显著影响购买意愿。（待验证）；H2：不同人群（年龄/收入/城市等级）在上述关系中存在调节作用（待验证）。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S4，文化遗产保护传承“十五五”规划；本地非遗名录和文旅部门资料。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必须锁定一个具体项目，例如漆器、剪纸、地方戏曲或传统食品。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S4，文化遗产保护传承“十五五”规划；本地非遗名录和文旅部门资料。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