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285. “县城旅游，反向出圈”——县域旅游的目的地选择动机与复游意愿研究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研究对象：去过县域目的地（小城/古镇/乡村）旅游的城市游客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核心问题/变量：目的地选择动机（松弛感/性价比/避人流）、消费支出、住宿餐饮体验、满意度、复游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H1：目的地选择动机（松弛感/性价比/避人流）、消费支出显著影响复游（待验证）；H2：不同人群（年龄/收入/城市等级）在上述关系中存在调节作用（待验证）。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🔶"反向旅游/县城游"现象（媒体多次报道，需引原文）；✅县域旅游收入数据（文旅部🔶需核验）；✅乡村旅游与乡村全面振兴政策背景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县域景区/OTA渠道；与89题（银发旅游）、58题（县域青年）区分：聚焦反向旅游现象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🔶"反向旅游/县城游"现象（媒体多次报道，需引原文）；✅县域旅游收入数据（文旅部🔶需核验）；✅乡村旅游与乡村全面振兴政策背景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