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289. “云游博物馆，数字看展”——数字文博的体验评价与付费意愿调查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研究对象：用过博物馆线上展览/AR导览/数字文创的观众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核心问题/变量：使用场景、体验评价（沉浸感/信息量）、实体打卡转化、付费意愿、创新期待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H1：使用场景、体验评价（沉浸感/信息量）显著影响创新期待（待验证）；H2：不同人群（年龄/收入/城市等级）在上述关系中存在调节作用（待验证）。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🔶数字文博（国家文化数字化战略背景）；✅文博游热潮（研学37题数据衔接）；✅AI导览/虚拟试衣间等AI消费扩容（新华网2026半年报）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博物馆官方渠道+文博爱好者社群；与227题（文创购买）区分：聚焦数字体验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🔶数字文博（国家文化数字化战略背景）；✅文博游热潮（研学37题数据衔接）；✅AI导览/虚拟试衣间等AI消费扩容（新华网2026半年报）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