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002. “跟着赛事去旅行”——体育赛事游客文旅消费需求与目的地偏好研究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研究对象：外地参赛者、陪同人员和赛事观众。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核心问题/变量：赛事吸引力、目的地形象、交通便利性、文旅线路偏好、消费预算。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H1：赛事吸引力、目的地形象显著影响消费预算。（待验证）；H2：不同人群（年龄/收入/城市等级）在上述关系中存在调节作用（待验证）。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S2，政策明确提出“跟着赛事去旅行”。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选择马拉松、球赛或地方特色赛事作为案例。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S2，政策明确提出“跟着赛事去旅行”。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