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349. “小剧场话剧，文化夜生活”——话剧、舞台剧、小剧场消费意愿研究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研究对象：看过话剧/舞台剧（含小剧场、脱口秀剧场）的都市观众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核心问题/变量：观演频次、票价接受、题材偏好、剧场氛围体验、与电影/演唱会对比、复购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H1：观演频次、票价接受显著影响复购（待验证）；H2：不同人群（年龄/收入/城市等级）在上述关系中存在调节作用（待验证）。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🔶话剧市场（中国演出行业协会数据需下载）；✅演出市场304亿元大盘（第三批已核验）；✅"XR/沉浸"演出新形态（媒体🔶）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剧院/小剧场渠道；与110题（脱口秀）区分：聚焦戏剧演出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🔶话剧市场（中国演出行业协会数据需下载）；✅演出市场304亿元大盘（第三批已核验）；✅"XR/沉浸"演出新形态（媒体🔶）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