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038. “光影沉浸展，出片新去处”——沉浸式光影艺术展观众体验评价与衍生品消费意愿研究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研究对象：看过沉浸式光影艺术展（teamLab 式/敦煌光影秀等）的观众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核心问题/变量：观展动机（出片/亲子/艺术启蒙）、票价接受、互动体验评价、衍生品消费、同质化感知（"网红展当道"）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H1：观展动机（出片/亲子/艺术启蒙）、票价接受显著影响同质化感知（"网红展当道"）（待验证）；H2：不同人群（年龄/收入/城市等级）在上述关系中存在调节作用（待验证）。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🔶沉浸式产业市场规模（《2025中国沉浸式产业发展报告》需下载）；✅文旅部沉浸式空间培育行动；✅夜游政策扶持"沉浸式体验"（第十四轮证据）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沉浸展现场问卷+OTA；与473（剧本杀实景）区分：聚焦艺术展览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🔶沉浸式产业市场规模（《2025中国沉浸式产业发展报告》需下载）；✅文旅部沉浸式空间培育行动；✅夜游政策扶持"沉浸式体验"（第十四轮证据）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