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391. “越夜越精彩，城市夜消费”——城市夜间消费行为与安全感知研究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研究对象：有夜间外出消费习惯（购物/娱乐/餐饮）的城市居民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核心问题/变量：夜间消费时段、场景偏好、频次与花费、深夜消费动因、安全感知、与日间消费对比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H1：夜间消费时段、场景偏好显著影响与日间消费对比（待验证）；H2：不同人群（年龄/收入/城市等级）在上述关系中存在调节作用（待验证）。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夜间经济规模预计45万亿—50万亿元、年复合增速8%—10%；✅2026年5月夜间时段日均活跃用户9.37亿（+4.6%）、深夜时段（0—2点）4.4亿（+16.9%）；✅30岁以下占33%、新一线/二线/三线合计超六成（行业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商圈/夜市现场问卷+线上；评委关注新消费场景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夜间经济规模预计45万亿—50万亿元、年复合增速8%—10%；✅2026年5月夜间时段日均活跃用户9.37亿（+4.6%）、深夜时段（0—2点）4.4亿（+16.9%）；✅30岁以下占33%、新一线/二线/三线合计超六成（行业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