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395. “夜游一座城，光影打卡”——夜游消费行为与门票价格接受度研究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研究对象：体验过夜游（夜景游船/灯光秀/古镇夜游）的游客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核心问题/变量：夜游动机（出片/避暑/氛围）、项目类型（灯光秀/游船/夜市）、门票价格接受、带动消费（餐饮住宿）、满意度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H1：夜游动机（出片/避暑/氛围）、项目类型（灯光秀/游船/夜市）显著影响满意度（待验证）；H2：不同人群（年龄/收入/城市等级）在上述关系中存在调节作用（待验证）。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夜游产品预订热度同比+52%、跨城夜游非本地订单占56%、18-35岁占58%（同程暑期夜游报告）；✅北京亮马河国际风情夜市单日客流破8.2万人次；✅2026夜游政策重点扶持沉浸式体验/水上夜游/夜间文旅消费集聚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夜游项目现场+OTA渠道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夜游产品预订热度同比+52%、跨城夜游非本地订单占56%、18-35岁占58%（同程暑期夜游报告）；✅北京亮马河国际风情夜市单日客流破8.2万人次；✅2026夜游政策重点扶持沉浸式体验/水上夜游/夜间文旅消费集聚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