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414. “古风工作室，旅拍创业经”——古风旅拍消费偏好与体验满意度研究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建议地区：西安（可按省/市细化抽样框）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研究对象：体验过古风旅拍（汉服妆造/古镇写真）的游客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核心问题/变量：旅拍动机（出片/文化）、套系价格（妆造+摄影）、目的地选择、与三坑服饰联动、满意度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H1：旅拍动机（出片/文化）、套系价格（妆造+摄影）显著影响满意度（待验证）；H2：不同人群（年龄/收入/城市等级）在上述关系中存在调节作用（待验证）。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🔶古风旅拍经济（西安/洛阳"汉服+旅拍"媒体）；✅三坑服饰1200亿（第七轮证据）；✅夜游/文旅热度（本批证据）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古镇旅拍店现场+OTA；与三坑题（206-210）区分：聚焦旅拍服务消费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🔶古风旅拍经济（西安/洛阳"汉服+旅拍"媒体）；✅三坑服饰1200亿（第七轮证据）；✅夜游/文旅热度（本批证据）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