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415. “夜宿博物馆，亲子奇遇”——博物馆夜宿活动参与意愿与体验满意度研究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研究对象：参加过博物馆夜场（奇妙夜/夜间讲解）的观众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核心问题/变量：参与动机、活动形式偏好（音乐会/剧本杀/夜游）、门票与文创消费、亲子参与、满意度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、活动形式偏好（音乐会/剧本杀/夜游）（满意度）之间存在可检验的关系，且受群体差异（年龄/收入/地区/身份）调节（待验证）；H2：参与动机、活动形式偏好（音乐会/剧本杀/夜游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🔶博物馆夜场（"博物馆奇妙夜"现象媒体需引原文）；✅夜经济政策扶持沉浸式体验（本批证据）；✅文博游热潮（已核验）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博物馆渠道（夜场活动招募）；与289题（云看展）区分：聚焦线下夜场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🔶博物馆夜场（"博物馆奇妙夜"现象媒体需引原文）；✅夜经济政策扶持沉浸式体验（本批证据）；✅文博游热潮（已核验）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