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434. “泡温泉，养生度假”——温泉康养度假中老年客群需求调查与消费意愿研究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建议地区：乡村（可按省/市细化抽样框）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确定行业：04_文化旅游与演艺（选择理由：贴合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研究对象：考虑或体验过乡村康养旅居（月租/长住）的城市中老年及子女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核心问题/变量：旅居动机（避暑/慢生活/疗养）、模式选择（月租民宿/康养基地）、费用接受、医疗配套顾虑、复住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H1：旅居动机（避暑/慢生活/疗养）、模式选择（月租民宿/康养基地）显著影响复住（待验证）；H2：不同人群（年龄/收入/城市等级）在上述关系中存在调节作用（待验证）。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🔶康养旅居（2万亿康养市场，第七轮已核验）；✅乡村民宿提质升级政策（文旅部背景）；✅银发旅游增长（已核验）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康养基地/民宿协会渠道；与286题（农村互助养老）区分：聚焦城市客源消费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🔶康养旅居（2万亿康养市场，第七轮已核验）；✅乡村民宿提质升级政策（文旅部背景）；✅银发旅游增长（已核验）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