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437. “主题乐园，快乐经济”——主题乐园二次消费行为与游客满意度研究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建议地区：北京（可按省/市细化抽样框）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研究对象：去过主题乐园（迪士尼/欢乐谷/本地乐园）的消费者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核心问题/变量：客源结构（亲子/情侣）、门票与二次消费（餐饮/周边）、排队体验、年卡消费、满意度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H1：客源结构（亲子/情侣）、门票与二次消费（餐饮/周边）显著影响满意度（待验证）；H2：不同人群（年龄/收入/城市等级）在上述关系中存在调节作用（待验证）。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🔶主题乐园市场（AECOM/TEA报告需下载）；✅上海迪士尼/北京环球客流（媒体数据🔶）；✅文娱消费304亿（第三批已核验）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乐园现场+OTA渠道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🔶主题乐园市场（AECOM/TEA报告需下载）；✅上海迪士尼/北京环球客流（媒体数据🔶）；✅文娱消费304亿（第三批已核验）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