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438. “景区咖啡馆，慢旅行体验”——景区、博物馆文创餐饮（景区咖啡馆、文创雪糕）消费行为与支付意愿研究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研究对象：在景区/博物馆买过文创餐饮（雪糕/咖啡/茶饮）的游客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核心问题/变量：购买动机（打卡/解渴/纪念）、文创设计吸引力、价格接受（溢价）、拍照传播、复购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H1：购买动机（打卡/解渴/纪念）、文创设计吸引力显著影响复购（待验证）；H2：不同人群（年龄/收入/城市等级）在上述关系中存在调节作用（待验证）。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🔶文创雪糕/景区咖啡（媒体现象报道需引原文）；✅文博文创热（227-231题衔接）；✅旅行消费升级（文旅部数据🔶）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景区现场+社交平台内容分析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🔶文创雪糕/景区咖啡（媒体现象报道需引原文）；✅文博文创热（227-231题衔接）；✅旅行消费升级（文旅部数据🔶）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