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440. “上天入海，低空文旅体验”——低空、新场景文旅消费（直升机观光、热气球、滑翔伞）参与意愿与体验评价研究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研究对象：体验过低空文旅项目（直升机/热气球/滑翔伞）的游客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核心问题/变量：体验动机（刺激/出片）、价格接受（单次几百-千元）、安全保障感知、低空经济政策知晓、复购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H1：体验动机（刺激/出片）、价格接受（单次几百-千元）显著影响复购（待验证）；H2：不同人群（年龄/收入/城市等级）在上述关系中存在调节作用（待验证）。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✅低空经济规模超5000亿（第一批已核验）；✅低空文旅列入政策支持方向（2026夜游政策，第十四轮证据）；🔶低空飞行体验项目（媒体）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低空文旅运营商/景区渠道；与06-09题（低空经济）区分：聚焦消费端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✅低空经济规模超5000亿（第一批已核验）；✅低空文旅列入政策支持方向（2026夜游政策，第十四轮证据）；🔶低空飞行体验项目（媒体）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