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497. “春日赏花，经济花开”——春日赏花游消费行为与带动效应感知研究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研究对象：参与过赏花游（樱花/油菜花/梅花）的游客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核心问题/变量：赏花目的地（公园/乡村）、花期消费（门票/餐饮/文创）、打卡出片、跨城赏花、花经济带动感知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H1：赏花目的地（公园/乡村）、花期消费（门票/餐饮/文创）显著影响花经济带动感知（待验证）；H2：不同人群（年龄/收入/城市等级）在上述关系中存在调节作用（待验证）。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🔶"春日经济/赏花经济"（媒体+文旅数据需核验）；✅乡村旅游与"花经济"（文旅部数据🔶）；✅文旅消费复苏（已核验）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赏花景区现场+OTA渠道；季节性强、取材容易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🔶"春日经济/赏花经济"（媒体+文旅数据需核验）；✅乡村旅游与"花经济"（文旅部数据🔶）；✅文旅消费复苏（已核验）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