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504. “熊猫顶流，流量变现”——大熊猫IP（花花、福宝类）文旅消费意愿与带动效应感知研究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研究对象：熊猫主题园/动物园游客、熊猫IP周边消费者、短视频追星族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核心问题/变量：观看/打卡动机、为熊猫IP的单次消费结构（门票、周边、餐饮）、异地“追猫”旅行、IP衍生品购买、对园区流量带动的感知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H1：观看/打卡动机、为熊猫IP的单次消费结构（门票显著影响对园区流量带动的感知（待验证）；H2：不同人群（年龄/收入/城市等级）在上述关系中存在调节作用（待验证）。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🔶熊猫IP客流与消费数据（基地官方、媒体报道须核验）；✅熊猫保护与文旅融合政策（国家林草局、文旅部）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熊猫基地/动物园渠道问卷+周边消费分析；区别于112（汉服）及一般主题乐园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🔶熊猫IP客流与消费数据（基地官方、媒体报道须核验）；✅熊猫保护与文旅融合政策（国家林草局、文旅部）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