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517. “星空民宿，追光经济”——观星旅游出行动机与消费结构调查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研究对象：观星旅游/天文民宿（星空营地）游客、天文爱好者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核心问题/变量：观星旅游动机（浪漫/亲子研学/逃离光污染）、目的地选择（暗夜保护地）、消费结构（住宿/设备租赁/导赏）、复游与传播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H1：观星旅游动机（浪漫/亲子研学/逃离光污染）、目的地选择（暗夜保护地）显著影响复游与传播（待验证）；H2：不同人群（年龄/收入/城市等级）在上述关系中存在调节作用（待验证）。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🔶暗夜星空保护地与观星旅游案例（文旅媒体报道须下载核验）；✅研学旅游与文旅新业态政策（文旅部）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暗夜星空目的地渠道问卷+民宿主访谈；区别于434（温泉）等康养度假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🔶暗夜星空保护地与观星旅游案例（文旅媒体报道须下载核验）；✅研学旅游与文旅新业态政策（文旅部）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