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544. “茶园研学，采一篓春天”——茶园采茶体验、茶旅研学消费研究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研究对象：参加茶园采茶/制茶体验的游客与亲子家庭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核心问题/变量：茶园体验动机（亲子/养生/文化）、行程消费结构、制茶DIY参与、茶旅产品付费意愿、复游与口碑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H1：茶园体验动机（亲子/养生/文化）、行程消费结构显著影响复游与口碑（待验证）；H2：不同人群（年龄/收入/城市等级）在上述关系中存在调节作用（待验证）。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🔶茶旅融合案例报道（文旅媒体须下载核验）；✅茶产业高质量发展政策（农业农村部）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茶产区渠道问卷+茶企访谈；区别于78（研学旅行）聚焦茶主题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🔶茶旅融合案例报道（文旅媒体须下载核验）；✅茶产业高质量发展政策（农业农村部）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