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545. “钢厂老厂区，住进工业记忆”——工业遗产改造酒店的选择偏好与价格接受度研究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研究对象：入住工业遗产改造酒店/民宿的游客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核心问题/变量：工业遗产酒店选择动机（怀旧/打卡/独特）、改造氛围体验、价格接受度、与标准化酒店对比、周边工业游联动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H1：工业遗产酒店选择动机（怀旧/打卡/独特）、改造氛围体验显著影响周边工业游联动（待验证）；H2：不同人群（年龄/收入/城市等级）在上述关系中存在调节作用（待验证）。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🔶工业遗产酒店案例报道（文旅媒体须下载核验）；✅工业遗产保护利用政策（工信部）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改造酒店渠道问卷+运营方访谈；区别于135（文创园）聚焦住宿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🔶工业遗产酒店案例报道（文旅媒体须下载核验）；✅工业遗产保护利用政策（工信部）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