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546. “赶海拾贝，海边烟火”——沿海赶海体验旅游消费研究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研究对象：参与赶海体验（亲子/年轻人）的游客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核心问题/变量：赶海动机、收费项目（赶海门票/工具/讲解）接受度、生态保护认知、安全体验、当地渔村经济带动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赶海动机、收费项目（赶海门票/工具/讲解）接受度（当地渔村经济带动）之间存在可检验的关系，且受群体差异（年龄/收入/地区/身份）调节（待验证）；H2：赶海动机、收费项目（赶海门票/工具/讲解）接受度是影响当地渔村经济带动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🔶赶海旅游热潮报道（媒体须下载核验）；✅滨海旅游与海洋经济政策（文旅部、海洋局）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海滨目的地问卷+经营者访谈；区别于73（冰雪）等主题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🔶赶海旅游热潮报道（媒体须下载核验）；✅滨海旅游与海洋经济政策（文旅部、海洋局）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