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549. “沙漠星空，越野穿越”——沙漠旅游的消费偏好与安全环保认知研究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研究对象：参与沙漠旅游/沙漠越野的游客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核心问题/变量：沙漠游动机（星空/越野/摄影）、消费结构（越野车/骆驼/露营）、安全与环保认知、小众目的地选择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沙漠游动机（星空/越野/摄影）、消费结构（越野车/骆驼/露营）（小众目的地选择）之间存在可检验的关系，且受群体差异（年龄/收入/地区/身份）调节（待验证）；H2：沙漠游动机（星空/越野/摄影）、消费结构（越野车/骆驼/露营）是影响小众目的地选择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🔶沙漠旅游发展报道（文旅媒体须下载核验）；✅西部旅游与生态旅游政策（文旅部）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沙漠目的地问卷+旅行社访谈；区别于517（星空民宿）聚焦沙漠场景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🔶沙漠旅游发展报道（文旅媒体须下载核验）；✅西部旅游与生态旅游政策（文旅部）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