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550. “古城夜宿，穿越千年”——古城夜游的项目体验与住宿选择偏好研究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研究对象：在古城古镇（丽江、平遥类）夜宿游玩的游客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核心问题/变量：古城夜游项目（灯光/演出/夜市）体验、住宿选择偏好、夜间消费结构、商业化与原生性平衡感知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H1：古城夜游项目（灯光/演出/夜市）体验、住宿选择偏好显著影响商业化与原生性平衡感知（待验证）；H2：不同人群（年龄/收入/城市等级）在上述关系中存在调节作用（待验证）。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🔶古城夜游数据与案例（文旅媒体须下载核验）；✅夜间文旅消费政策（文旅部）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古城景区问卷+民宿商户访谈；区别于391（城市夜消费）聚焦古城场景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🔶古城夜游数据与案例（文旅媒体须下载核验）；✅夜间文旅消费政策（文旅部）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