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619. “户外婚礼、目的地婚礼，婚旅一体”——目的地婚礼选择动机与消费意愿调查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研究对象：举办或考虑目的地婚礼的新人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核心问题/变量：目的地婚礼选择动机（仪式感/避俗/旅游）、场地与服务消费、亲友差旅成本、与本地婚礼对比、满意度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H1：目的地婚礼选择动机（仪式感/避俗/旅游）、场地与服务消费显著影响满意度（待验证）；H2：不同人群（年龄/收入/城市等级）在上述关系中存在调节作用（待验证）。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🔶目的地婚礼市场报道（婚庆媒体须下载核验）；✅文旅融合政策（文旅部）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婚庆机构渠道+新婚人群问卷；获奖黑名单核对：近三年无目的地婚礼获奖题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🔶目的地婚礼市场报道（婚庆媒体须下载核验）；✅文旅融合政策（文旅部）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