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633. “非遗研学，文化传薪”——非遗研学旅行选择动机与体验消费意愿调查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研究对象：参与非遗研学（漆扇/扎染/剪纸类体验）的亲子家庭与学生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核心问题/变量：非遗研学选择动机、体验课程消费、传承人故事吸引力、文化认同收获、复购与口碑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H1：非遗研学选择动机、体验课程消费显著影响复购与口碑（待验证）；H2：不同人群（年龄/收入/城市等级）在上述关系中存在调节作用（待验证）。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🔶非遗研学产品报道（文旅媒体须下载核验）；✅非遗保护与研学政策（文旅部、教育部）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非遗工坊/旅企渠道问卷；获奖黑名单核对：近三年无非遗研学获奖题（区别于25非遗文创购买）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🔶非遗研学产品报道（文旅媒体须下载核验）；✅非遗保护与研学政策（文旅部、教育部）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