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716. “夜游博物馆，博物馆奇妙夜”——博物馆夜场参与意愿与门票接受度研究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研究对象：参加过博物馆/科技馆夜场活动的游客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核心问题/变量：夜场参与动机（新奇/错峰/亲子）、夜游内容偏好（灯光/讲解/演出）、加价门票接受、与日场对比、复游意愿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夜场参与动机（新奇/错峰/亲子）、夜游内容偏好（灯光/讲解/演出）（复游意愿）之间存在可检验的关系，且受群体差异（年龄/收入/地区/身份）调节（待验证）；H2：夜场参与动机（新奇/错峰/亲子）、夜游内容偏好（灯光/讲解/演出）是影响复游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🔶博物馆夜游试点报道（文旅媒体须下载核验）；✅博物馆夜间开放政策（国家文物局）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博物馆渠道问卷+馆方访谈；获奖黑名单核对：近三年无博物馆夜场获奖题（区别于109博物馆泛题）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🔶博物馆夜游试点报道（文旅媒体须下载核验）；✅博物馆夜间开放政策（国家文物局）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