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077. “演出经济，下沉爆发”——二三线城市观众观演需求与票价接受度研究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研究对象：二三线城市音乐节/演唱会观众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核心问题/变量：本地观演需求、票价接受度、参与频率、本地消费带动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H1：本地观演需求、票价接受度显著影响本地消费带动（待验证）；H2：不同人群（年龄/收入/城市等级）在上述关系中存在调节作用（待验证）。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🔶演唱会市场K型分化、下沉市场拼盘演出占比45.6%（行业报告聚合中演协数据）；✅2026上半年全国演出场次32.43万场、票房304.08亿元（+9.41%）、观众9881.18万人次（中演协）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二三线城市演出场馆/音乐节现场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🔶演唱会市场K型分化、下沉市场拼盘演出占比45.6%（行业报告聚合中演协数据）；✅2026上半年全国演出场次32.43万场、票房304.08亿元（+9.41%）、观众9881.18万人次（中演协）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