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847. “反向旅游，小城出圈”——反向旅游体验满意度与再游意愿调查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研究对象：选择反向旅游（避开热门景区）的游客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核心问题/变量：反向旅游动机（人少/性价比/松弛感）、小城选择（资源排名/影视带火）、消费结构（住宿/美食）、体验满意度、再游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H1：反向旅游动机（人少/性价比/松弛感）、小城选择（资源排名/影视带火）显著影响再游（待验证）；H2：不同人群（年龄/收入/城市等级）在上述关系中存在调节作用（待验证）。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🔶反向旅游现象报道（文旅媒体须下载核验）；✅县域旅游振兴政策（文旅部）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小城文旅局渠道+游客问卷；获奖黑名单核对：近三年无反向旅游获奖题（区别于547雪场民宿等具体地）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🔶反向旅游现象报道（文旅媒体须下载核验）；✅县域旅游振兴政策（文旅部）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