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868. “景区二次消费，门票之外”——景区内二次消费（索道、文创、体验）研究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研究对象：景区游客（山岳/古镇类型）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核心问题/变量：景区内消费项目（索道/观光车/演艺）、门票外消费占比、二次消费价格感知、强制/诱导消费体验、消费满意度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H1：景区内消费项目（索道/观光车/演艺）、门票外消费占比显著影响消费满意度（待验证）；H2：不同人群（年龄/收入/城市等级）在上述关系中存在调节作用（待验证）。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🔶景区门票与二次消费政策（发改委、文旅部）；🔶景区消费数据（须下载核验）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景区实地问卷+管理方访谈；获奖黑名单核对：近三年无景区二次消费获奖题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🔶景区门票与二次消费政策（发改委、文旅部）；🔶景区消费数据（须下载核验）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