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900. “演艺新空间，小剧场戏剧”——小剧场演出消费偏好与复购意愿调查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研究对象：观看小剧场/沉浸式演出（环境戏剧/脱口秀场地）的观众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核心问题/变量：新空间演出消费频次（年轻客群）、沉浸式互动体验、票价（100-400）、剧场空间氛围、剧目更新与复购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H1：新空间演出消费频次（年轻客群）、沉浸式互动体验显著影响剧目更新与复购（待验证）；H2：不同人群（年龄/收入/城市等级）在上述关系中存在调节作用（待验证）。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🔶演艺新空间政策（文旅部、上海等地）；🔶小剧场市场数据（须下载核验）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剧场渠道问卷+制作方访谈；获奖黑名单核对：近三年无小剧场获奖题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🔶演艺新空间政策（文旅部、上海等地）；🔶小剧场市场数据（须下载核验）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