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902. “数字文博，云上逛馆”——数字文博参与意愿与体验满意度调查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研究对象：体验线上云展览/数字文博内容的公众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核心问题/变量：云展参观频次、线上vs线下体验差异、数字藏品/文物数字化消费、青少年科普、博物馆数字化投入感知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H1：云展参观频次、线上vs线下体验差异显著影响博物馆数字化投入感知（待验证）；H2：不同人群（年龄/收入/城市等级）在上述关系中存在调节作用（待验证）。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🔶博物馆数字化建设政策（国家文物局）；🔶云展览平台数据（须下载核验）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博物馆线上渠道+用户问卷；获奖黑名单核对：近三年无数字文博获奖题（区别于289数字文创泛题）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🔶博物馆数字化建设政策（国家文物局）；🔶云展览平台数据（须下载核验）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