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942. “边境旅游，异域风情游”——边境旅游（口岸城市）消费需求与跨境参与意愿调查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研究对象：去过边境口岸城市（黑河/满洲里/凭祥等）旅游的游客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核心问题/变量：边境游动机（异域/免税/自驾）、跨境游（一日游）参与、口岸免税购物、边境文旅产品、安全与便利、复游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边境游动机（异域/免税/自驾）、跨境游（一日游）参与（复游）之间存在可检验的关系，且受群体差异（年龄/收入/地区/身份）调节（待验证）；H2：边境游动机（异域/免税/自驾）、跨境游（一日游）参与是影响复游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🔶边境旅游试验区政策（文旅部、国务院）；🔶边境游数据（须下载核验）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边境城市文旅渠道+游客问卷；获奖黑名单核对：近三年无边境旅游获奖题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🔶边境旅游试验区政策（文旅部、国务院）；🔶边境游数据（须下载核验）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