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095. “公园20分钟，城市疗愈”——城市公园自然体感消费与精神充电行为研究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研究对象：18—45岁有"公园20分钟效应"体验/日常去公园休息的城市居民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核心问题/变量：到访频率、自然接触时长、情绪恢复感知（问卷前后测）、公园配套消费（咖啡/文创/市集）、付费意愿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H1：到访频率、自然接触时长显著影响付费意愿（待验证）；H2：不同人群（年龄/收入/城市等级）在上述关系中存在调节作用（待验证）。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🔶"公园20分钟效应"源自埃克塞特大学自然环境与心理健康研究（学术文献可检索引用）；✅多地推进"公园城市"建设（住建部政策背景）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城市公园现场拦截+访谈；可结合指压式量表测量情绪改善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🔶"公园20分钟效应"源自埃克塞特大学自然环境与心理健康研究（学术文献可检索引用）；✅多地推进"公园城市"建设（住建部政策背景）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