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964. “citywalk夜游线，光影城市”——城市夜游线路（夜航/灯光秀）的消费需求与支付意愿调查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研究对象：参加城市夜游线路（夜航/灯光秀/夜游船）的游客与市民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核心问题/变量：夜游消费场景（亲子/情侣/游客）、夜游船票价与项目、灯光秀出圈（城市IP）、夜间出行安全、复游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H1：夜游消费场景（亲子/情侣/游客）、夜游船票价与项目显著影响复游（待验证）；H2：不同人群（年龄/收入/城市等级）在上述关系中存在调节作用（待验证）。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🔶夜间文旅消费政策（文旅部）；🔶夜游市场数据（须下载核验）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夜游渠道问卷+运营方访谈；获奖黑名单核对：近三年无城市夜游线获奖题（区别于88县域夜经济、880夜游博物馆？）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🔶夜间文旅消费政策（文旅部）；🔶夜游市场数据（须下载核验）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