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976. “文化馆夜校，青年学艺”——文化馆（夜校、公益课）青年课程参与意愿与获得感调查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研究对象：报名文化馆（公益课/夜校）课程的青年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核心问题/变量：文化馆课程供给（书法/舞蹈/非遗）、抢课火爆（秒空）、公益vs市场化、公共文化服务获得感、复报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化馆课程供给（书法/舞蹈/非遗）、抢课火爆（秒空）（复报）之间存在可检验的关系，且受群体差异（年龄/收入/地区/身份）调节（待验证）；H2：文化馆课程供给（书法/舞蹈/非遗）、抢课火爆（秒空）是影响复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🔶文化馆免费开放与公共文化服务政策（文旅部）；🔶文化馆夜校现象报道（须下载核验）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文化馆渠道+学员问卷；获奖黑名单核对：近三年无文化馆夜校获奖题（区别于725青年夜校泛题，聚焦公共馆所）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🔶文化馆免费开放与公共文化服务政策（文旅部）；🔶文化馆夜校现象报道（须下载核验）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