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9. “低空文旅，云端看城”——城市低空观光产品的消费场景与价格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本地居民、游客和景区游客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景观吸引力、飞行时长、安全感、价格、预约方式、复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景观吸引力、飞行时长显著影响复购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；S2，体育赛事与文旅融合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景区、城市地标或水上旅游线路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；S2，体育赛事与文旅融合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