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1016. “板式网球Padel，社交新贵”——板式网球（Padel）运动参与需求与场馆装备支付意愿调查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研究对象：参与板式网球（Padel）的玩家与场馆运营方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核心问题/变量：Padel参与动机（社交/新潮/低门槛）、场馆预订与费用、球拍装备消费、社群约球、与网球/匹克球选择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Padel参与动机（社交/新潮/低门槛）、场馆预订与费用（与网球/匹克球选择）之间存在可检验的关系，且受群体差异（年龄/收入/地区/身份）调节（待验证）；H2：Padel参与动机（社交/新潮/低门槛）、场馆预订与费用是影响与网球/匹克球选择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🔶新兴球类运动推广政策（体育总局）；🔶Padel场馆建设报道（须下载核验）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Padel场馆问卷+教练访谈；获奖黑名单核对：近三年无板式网球获奖题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🔶新兴球类运动推广政策（体育总局）；🔶Padel场馆建设报道（须下载核验）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