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1017. “海上冲浪，浪尖自由”——冲浪运动参与需求与课程装备消费意愿调查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研究对象：体验冲浪/报冲浪课的游客与爱好者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核心问题/变量：冲浪动机（自由/出片/社交）、课程费用（200-500/次）、装备购买（冲浪板/防晒衣）、安全（救生员/暗流）、海滨目的地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H1：冲浪动机（自由/出片/社交）、课程费用（200-500/次）显著影响海滨目的地（待验证）；H2：不同人群（年龄/收入/城市等级）在上述关系中存在调节作用（待验证）。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🔶水上运动产业发展规划（体育总局）；🔶冲浪目的地数据（文旅部门须下载核验）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冲浪俱乐部问卷+教练访谈；获奖黑名单核对：近三年无冲浪运动获奖题（区别于460模拟冲浪、743陆冲）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🔶水上运动产业发展规划（体育总局）；🔶冲浪目的地数据（文旅部门须下载核验）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