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1130. “运动康复中心，第二次运动生涯”——运动人群机构化康复消费意愿及康复效果评价调查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研究对象：在运动康复中心（机构而非医院）康复的运动人群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核心问题/变量：运动康复机构选择（康复师资质）、康复疗程费用（数千元）、与医院康复对比、运动损伤预防、效果复测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康复机构选择（康复师资质）、康复疗程费用（数千元）（效果复测）之间存在可检验的关系，且受群体差异（年龄/收入/地区/身份）调节（待验证）；H2：运动康复机构选择（康复师资质）、康复疗程费用（数千元）是影响效果复测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🔶运动康复产业政策（体育总局）；🔶康复机构市场数据（行业报告须下载核验）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康复中心渠道+学员问卷；获奖黑名单核对：近三年无运动康复中心获奖题（区别于876运动康复泛题，聚焦机构业态）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🔶运动康复产业政策（体育总局）；🔶康复机构市场数据（行业报告须下载核验）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