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1133. “运动搭子App，约球新方式”——运动搭子约球平台使用意愿及陌生搭子信任调查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确定行业：05_体育健身与户外运动（选择理由：贴合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研究对象：通过运动App/社群约运动搭子的用户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核心问题/变量：运动搭子需求（羽毛球/网球/跑步）、约球平台功能（场地/匹配）、AA费用、陌生搭子信任、固定球局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H1：运动搭子需求（羽毛球/网球/跑步）、约球平台功能（场地/匹配）显著影响固定球局（待验证）；H2：不同人群（年龄/收入/城市等级）在上述关系中存在调节作用（待验证）。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🔶全民健身数字化政策（体育总局）；🔶运动社交App数据（行业报告须下载核验）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约球App用户问卷+平台访谈；获奖黑名单核对：近三年无运动搭子获奖题（区别于971骑行搭子，聚焦全运动约球）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🔶全民健身数字化政策（体育总局）；🔶运动社交App数据（行业报告须下载核验）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