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118. “城市 'cityride'，骑行即生活”——城市骑行通勤与骑行消费升级研究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确定行业：05_体育健身与户外运动（选择理由：贴合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研究对象：有骑行通勤/休闲骑行习惯的城市居民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核心问题/变量：骑行动机、骑行装备（整车/配件/服饰）支出、参与群体（骑行团）、满意度、持续习惯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骑行动机、骑行装备（整车/配件/服饰）支出（持续习惯）之间存在可检验的关系，且受群体差异（年龄/收入/地区/身份）调节（待验证）；H2：骑行动机、骑行装备（整车/配件/服饰）支出是影响持续习惯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🔶城市骑行热与骑行产业增长（中国自行车协会数据，🔶需下载）；✅绿色出行、双碳政策背景（发改委/交通部）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骑行店/骑行团/绿道现场；差异化于第一批智能穿戴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🔶城市骑行热与骑行产业增长（中国自行车协会数据，🔶需下载）；✅绿色出行、双碳政策背景（发改委/交通部）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