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1341. “骑行友好城市，自行车道成网”——骑行友好城市设施使用行为与骑行满意度调查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研究对象：使用骑行友好设施（自行车道/骑行绿道）的通勤与健身骑友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核心问题/变量：骑行友好城市（慢行系统建设）、自行车道连贯性（被占用）、骑行通勤比例、骑行绿道（滨江/公园）、骑行友好度评比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行友好城市（慢行系统建设）、自行车道连贯性（被占用）（骑行友好度评比）之间存在可检验的关系，且受群体差异（年龄/收入/地区/身份）调节（待验证）；H2：骑行友好城市（慢行系统建设）、自行车道连贯性（被占用）是影响骑行友好度评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🔶绿色出行与慢行系统政策（住建部、交通运输部）；🔶骑行友好城市数据（须下载核验）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骑友问卷+规划/交通部门访谈；获奖黑名单核对：近三年无骑行友好城市获奖题（区别于694骑行通勤泛题，聚焦城市慢行系统）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🔶绿色出行与慢行系统政策（住建部、交通运输部）；🔶骑行友好城市数据（须下载核验）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