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1348. “体育生就业，操场外的赛场”——体育专业毕业生就业意向与行业用人需求调查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研究对象：体育专业毕业生（就业方向）及用人单位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核心问题/变量：体育生就业去向（体育老师/教练/健身）、就业率与收入、转行（跨界）、体育培训行业需求、运动员转型、创业（体能馆）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育生就业去向（体育老师/教练/健身）、就业率与收入（创业（体能馆））之间存在可检验的关系，且受群体差异（年龄/收入/地区/身份）调节（待验证）；H2：体育生就业去向（体育老师/教练/健身）、就业率与收入是影响创业（体能馆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🔶体育产业与体育人才政策（体育总局）；🔶体育就业数据（须下载核验）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体育院校问卷+体育产业企业访谈；获奖黑名单核对：近三年无体育生就业获奖题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🔶体育产业与体育人才政策（体育总局）；🔶体育就业数据（须下载核验）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