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1349. “运动急救普及，跑者学心肺复苏”——运动急救培训需求与施救意愿调查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研究对象：参加运动急救培训（心肺复苏/AED）的跑者、教练与场馆工作人员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核心问题/变量：运动猝死案例（马拉松/球场）、急救技能培训（红十字会认证）、AED配置（运动场馆）、培训时长与费用、施救意愿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H1：运动猝死案例（马拉松/球场）、急救技能培训（红十字会认证）显著影响施救意愿（待验证）；H2：不同人群（年龄/收入/城市等级）在上述关系中存在调节作用（待验证）。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🔶赛事安全与急救规范（体育总局）；🔶运动急救培训数据（须下载核验）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培训机构问卷+赛事运营方访谈；获奖黑名单核对：近三年无运动急救培训获奖题（区别于1320 AED泛题，聚焦运动场景）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🔶赛事安全与急救规范（体育总局）；🔶运动急救培训数据（须下载核验）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