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225. “运动小达人”——儿童体适能培训的报名动机与课程满意度研究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研究对象：3—12岁儿童家长（报过体适能/游泳/篮球等）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核心问题/变量：报班动机（健康/身高/性格）、课程偏好、费用与频次、教练信任、满意度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班动机（健康/身高/性格）、课程偏好（满意度）之间存在可检验的关系，且受群体差异（年龄/收入/地区/身份）调节（待验证）；H2：报班动机（健康/身高/性格）、课程偏好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🔶儿童体适能市场规模（行业报告需核验）；✅"健康中国"儿童青少年体质健康政策（政策背景）；✅体育培训行业监管规范（🔶）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儿童运动馆/培训机构渠道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🔶儿童体适能市场规模（行业报告需核验）；✅"健康中国"儿童青少年体质健康政策（政策背景）；✅体育培训行业监管规范（🔶）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