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232. “钓鱼年轻化，'水上高尔夫'”——青年钓鱼的入坑动机与装备消费支出研究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研究对象：25—45岁钓鱼爱好者（含路亚/海钓）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核心问题/变量：入坑动机（解压/社交/挑战）、装备支出（竿/轮/艇）、钓场/赛事参与、年度花费、圈层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H1：入坑动机（解压/社交/挑战）、装备支出（竿/轮/艇）显著影响圈层（待验证）；H2：不同人群（年龄/收入/城市等级）在上述关系中存在调节作用（待验证）。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✅全国钓鱼爱好者近1.5亿、25—45岁占近50%；✅2025年一个电商平台卖出4.04亿单垂钓商品、路亚艇入门16万/高端74万；✅"90后"女孩第一年装备花三四万、展会单趟消费3000元起（媒体案例）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钓鱼社群/钓具店/钓鱼展会渠道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✅全国钓鱼爱好者近1.5亿、25—45岁占近50%；✅2025年一个电商平台卖出4.04亿单垂钓商品、路亚艇入门16万/高端74万；✅"90后"女孩第一年装备花三四万、展会单趟消费3000元起（媒体案例）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