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233. “岩馆进商场，引流还是跟风”——商场攀岩馆的参与动机与持续消费意愿研究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研究对象：去过攀岩馆/室内运动馆的 18—35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核心问题/变量：参与动机（运动/社交/挑战）、课程与门票消费、装备购买、粘性、复购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H1：参与动机（运动/社交/挑战）、课程与门票消费显著影响复购（待验证）；H2：不同人群（年龄/收入/城市等级）在上述关系中存在调节作用（待验证）。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🔶攀岩入奥带动国内攀岩馆扩张（媒体/行业数据需核验）；✅《户外运动产业发展规划》（体育总局政策背景）；✅"三亿人上冰雪"后的室内运动热潮（🔶）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攀岩馆/运动馆现场问卷；与109题（匹克球等）区分：聚焦攀岩专项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🔶攀岩入奥带动国内攀岩馆扩张（媒体/行业数据需核验）；✅《户外运动产业发展规划》（体育总局政策背景）；✅"三亿人上冰雪"后的室内运动热潮（🔶）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