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234. “跑一场马，爱一座城”——大众跑者参赛动机与赛事服务满意度研究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研究对象：跑过马拉松/半马的跑者及观赛市民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核心问题/变量：报名费、差旅住宿、装备消费、城市旅游联动、赛事体验、重跑意愿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H1：报名费、差旅住宿显著影响重跑意愿（待验证）；H2：不同人群（年龄/收入/城市等级）在上述关系中存在调节作用（待验证）。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🔶马拉松经济（中国田径协会《中国路跑产业发展报告》需下载）；✅赛事带动住宿餐饮消费案例（媒体）；✅全民健身政策背景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马拉松赛事现场+跑团社群；与01题（通用赛事）区分：聚焦马拉松专项经济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🔶马拉松经济（中国田径协会《中国路跑产业发展报告》需下载）；✅赛事带动住宿餐饮消费案例（媒体）；✅全民健身政策背景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