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236. “匹克球，新中产运动”——匹克球运动的参与动机与持续参与意愿调查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研究对象：玩过飞盘/腰旗橄榄球/桨板等的 18—30 岁年轻人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核心问题/变量：参与动机（社交/出片/运动）、场地与装备支出、组织化程度、粘性、退潮原因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参与动机（社交/出片/运动）、场地与装备支出（退潮原因）之间存在可检验的关系，且受群体差异（年龄/收入/地区/身份）调节（待验证）；H2：参与动机（社交/出片/运动）、场地与装备支出是影响退潮原因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🔶飞盘/腰旗运动风潮（2022—2026媒体报道，需引原文）；✅新兴运动项目纳入全民健身（政策背景🔶）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城市运动社群/公园现场；与109题区分：聚焦团队社交属性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🔶飞盘/腰旗运动风潮（2022—2026媒体报道，需引原文）；✅新兴运动项目纳入全民健身（政策背景🔶）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