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252. “24小时健身房，随时开练”——新型健身模式的选择因素与持续使用意愿研究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研究对象：使用24小时健身房/自助健身舱/团操课（乐刻/超级猩猩类）的消费者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核心问题/变量：选择因素（价格/便利/课程）、月费接受、课程偏好、对比传统健身房、粘性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H1：选择因素（价格/便利/课程）、月费接受显著影响粘性（待验证）；H2：不同人群（年龄/收入/城市等级）在上述关系中存在调节作用（待验证）。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✅2025年底健身场馆同比减少约2.3万家（大型下滑），小型24小时健身房/工作室增长明显；✅健身人口年增超10%（行业🔶）；✅"销售型教练退场、专业型教练黄金时代"趋势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24小时健身房门店现场+健身社群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✅2025年底健身场馆同比减少约2.3万家（大型下滑），小型24小时健身房/工作室增长明显；✅健身人口年增超10%（行业🔶）；✅"销售型教练退场、专业型教练黄金时代"趋势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